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BA" w:rsidRPr="00CD0799" w:rsidRDefault="00CD0799" w:rsidP="001C0FA5">
      <w:pP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8B4B27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Politique d'Accessibilité d’ARIANE Méditerranée</w:t>
      </w:r>
      <w:r w:rsidR="007C79C1" w:rsidRPr="008B4B27">
        <w:rPr>
          <w:rFonts w:ascii="Arial" w:eastAsia="Times New Roman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185260</wp:posOffset>
            </wp:positionH>
            <wp:positionV relativeFrom="paragraph">
              <wp:posOffset>363855</wp:posOffset>
            </wp:positionV>
            <wp:extent cx="1034415" cy="102933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e-ArianeMediterrané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799" w:rsidRPr="00CD0799" w:rsidRDefault="00CD0799" w:rsidP="00CD0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Préambule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L’Organisme de Formation </w:t>
      </w:r>
      <w:r w:rsidRPr="007C72BA">
        <w:rPr>
          <w:rFonts w:ascii="Arial" w:eastAsia="Times New Roman" w:hAnsi="Arial" w:cs="Arial"/>
          <w:sz w:val="28"/>
          <w:szCs w:val="28"/>
          <w:lang w:eastAsia="fr-FR"/>
        </w:rPr>
        <w:t>ARIANE Méditerranée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s’engage à garantir l’accessibilité de ses formations à tous les publics, conformément aux exigences du référentiel </w:t>
      </w:r>
      <w:proofErr w:type="spellStart"/>
      <w:r w:rsidRPr="00CD0799">
        <w:rPr>
          <w:rFonts w:ascii="Arial" w:eastAsia="Times New Roman" w:hAnsi="Arial" w:cs="Arial"/>
          <w:sz w:val="28"/>
          <w:szCs w:val="28"/>
          <w:lang w:eastAsia="fr-FR"/>
        </w:rPr>
        <w:t>Qualiopi</w:t>
      </w:r>
      <w:proofErr w:type="spellEnd"/>
      <w:r w:rsidRPr="00CD0799">
        <w:rPr>
          <w:rFonts w:ascii="Arial" w:eastAsia="Times New Roman" w:hAnsi="Arial" w:cs="Arial"/>
          <w:sz w:val="28"/>
          <w:szCs w:val="28"/>
          <w:lang w:eastAsia="fr-FR"/>
        </w:rPr>
        <w:t>. Notre objectif est de favoriser l'inclusion et l'égalité des chances en adaptant nos dispositifs de formation aux besoins des personnes en situation de handicap.</w:t>
      </w:r>
      <w:r w:rsidRPr="007C72BA">
        <w:rPr>
          <w:rFonts w:ascii="Arial" w:eastAsia="Times New Roman" w:hAnsi="Arial" w:cs="Arial"/>
          <w:sz w:val="28"/>
          <w:szCs w:val="28"/>
          <w:lang w:eastAsia="fr-FR"/>
        </w:rPr>
        <w:t xml:space="preserve"> N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>ous mettons en place des actions concrètes et proportionnées pour assurer cette acces</w:t>
      </w:r>
      <w:bookmarkStart w:id="0" w:name="_GoBack"/>
      <w:bookmarkEnd w:id="0"/>
      <w:r w:rsidRPr="00CD0799">
        <w:rPr>
          <w:rFonts w:ascii="Arial" w:eastAsia="Times New Roman" w:hAnsi="Arial" w:cs="Arial"/>
          <w:sz w:val="28"/>
          <w:szCs w:val="28"/>
          <w:lang w:eastAsia="fr-FR"/>
        </w:rPr>
        <w:t>sibilité.</w:t>
      </w:r>
    </w:p>
    <w:p w:rsidR="00CD0799" w:rsidRPr="00CD0799" w:rsidRDefault="00CD0799" w:rsidP="00CD0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1. </w:t>
      </w:r>
      <w:r w:rsidRPr="002C113A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 xml:space="preserve">Engagement en matière d’Accessibilité </w:t>
      </w: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:</w:t>
      </w:r>
    </w:p>
    <w:p w:rsidR="00CD0799" w:rsidRPr="00CD0799" w:rsidRDefault="00CD0799" w:rsidP="00AF5D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Conformité réglementaire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Respecter les lois et règlements en vigueur concernant l’accessibilité des personnes en situation de handicap.</w:t>
      </w:r>
    </w:p>
    <w:p w:rsidR="00CD0799" w:rsidRPr="00CD0799" w:rsidRDefault="00CD0799" w:rsidP="00AF5D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Égalité des chances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Promouvoir l’inclusion et veiller à ce que chaque apprenant, quelles que soient ses limitations, ait accès à une formation de qualité.</w:t>
      </w:r>
    </w:p>
    <w:p w:rsidR="00CD0799" w:rsidRPr="00CD0799" w:rsidRDefault="00CD0799" w:rsidP="00AF5D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2. </w:t>
      </w:r>
      <w:r w:rsidRPr="002C113A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>Identification des Besoins Spécifiques :</w:t>
      </w:r>
    </w:p>
    <w:p w:rsidR="00CD0799" w:rsidRPr="00CD0799" w:rsidRDefault="00CD0799" w:rsidP="00AF5D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Recueil des besoins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Identifier, dès l’inscription, les besoins spécifiques des apprenants en situation de handicap grâce à un questionnaire adapté et des échanges individuels.</w:t>
      </w:r>
    </w:p>
    <w:p w:rsidR="00CD0799" w:rsidRPr="00CD0799" w:rsidRDefault="00CD0799" w:rsidP="00AF5D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Adaptation des parcours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Adapter les contenus, les méthodes pédagogiques et les modalités d’évaluation en fonction des besoins identifiés.</w:t>
      </w:r>
    </w:p>
    <w:p w:rsidR="00CD0799" w:rsidRPr="00CD0799" w:rsidRDefault="00CD0799" w:rsidP="00CD07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3. </w:t>
      </w:r>
      <w:r w:rsidRPr="002C113A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>Aménagement des Locaux et des Équipements :</w:t>
      </w:r>
    </w:p>
    <w:p w:rsidR="00CD0799" w:rsidRPr="00CD0799" w:rsidRDefault="00CD0799" w:rsidP="00AF5D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Accessibilité des locaux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Garantir que nos locaux sont accessibles aux personnes à mobilité réduite, avec des aménagements appropriés (rampe d’accès, ascenseur, toilettes adaptées, etc.).</w:t>
      </w:r>
    </w:p>
    <w:p w:rsidR="00CD0799" w:rsidRPr="00CD0799" w:rsidRDefault="00CD0799" w:rsidP="00AF5D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Équipements adaptés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Fournir des équipements spécifiques (matériel informatique adapté, logiciels de reconnaissance vocale, boucle magnétique, etc.) pour répondre aux besoins des apprenants.</w:t>
      </w:r>
    </w:p>
    <w:p w:rsidR="00CD0799" w:rsidRPr="00CD0799" w:rsidRDefault="00CD0799" w:rsidP="00CD07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4. </w:t>
      </w:r>
      <w:r w:rsidRPr="002C113A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>Formation et Sensibilisation :</w:t>
      </w:r>
    </w:p>
    <w:p w:rsidR="00CD0799" w:rsidRPr="00CD0799" w:rsidRDefault="00CD0799" w:rsidP="00AF5D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Formation du personnel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Former régulièrement notre personnel, y compris les formateurs, sur les enjeux de l’accessibilité et les bonnes pratiques à adopter.</w:t>
      </w:r>
    </w:p>
    <w:p w:rsidR="00CD0799" w:rsidRPr="00CD0799" w:rsidRDefault="00CD0799" w:rsidP="00AF5D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Sensibilisation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Sensibiliser l’ensemble des apprenants et des parties prenantes à l’importance de l’inclusion et du respect des personnes en situation de handicap.</w:t>
      </w:r>
    </w:p>
    <w:p w:rsidR="00CD0799" w:rsidRPr="00CD0799" w:rsidRDefault="00CD0799" w:rsidP="00CD07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5. </w:t>
      </w:r>
      <w:r w:rsidRPr="002C113A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>Accompagnement et Suivi Personnalisé :</w:t>
      </w:r>
    </w:p>
    <w:p w:rsidR="00CD0799" w:rsidRPr="00CD0799" w:rsidRDefault="00CD0799" w:rsidP="00AF5D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Référent handicap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AF5D8E" w:rsidRPr="007C72BA">
        <w:rPr>
          <w:rFonts w:ascii="Arial" w:eastAsia="Times New Roman" w:hAnsi="Arial" w:cs="Arial"/>
          <w:sz w:val="28"/>
          <w:szCs w:val="28"/>
          <w:lang w:eastAsia="fr-FR"/>
        </w:rPr>
        <w:t>Identification de notre référent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handicap</w:t>
      </w:r>
      <w:r w:rsidR="00AF5D8E" w:rsidRPr="007C72BA">
        <w:rPr>
          <w:rFonts w:ascii="Arial" w:eastAsia="Times New Roman" w:hAnsi="Arial" w:cs="Arial"/>
          <w:sz w:val="28"/>
          <w:szCs w:val="28"/>
          <w:lang w:eastAsia="fr-FR"/>
        </w:rPr>
        <w:t xml:space="preserve"> Franck IACONELLI </w:t>
      </w:r>
      <w:hyperlink r:id="rId8" w:history="1">
        <w:r w:rsidR="001C0FA5" w:rsidRPr="00A67B8E">
          <w:rPr>
            <w:rStyle w:val="Lienhypertexte"/>
            <w:rFonts w:ascii="Arial" w:eastAsia="Times New Roman" w:hAnsi="Arial" w:cs="Arial"/>
            <w:sz w:val="28"/>
            <w:szCs w:val="28"/>
            <w:lang w:eastAsia="fr-FR"/>
          </w:rPr>
          <w:t>f.iaconelli@ariane-mediterranee.fr</w:t>
        </w:r>
      </w:hyperlink>
      <w:r w:rsidR="00AF5D8E" w:rsidRPr="007C72BA">
        <w:rPr>
          <w:rFonts w:ascii="Arial" w:eastAsia="Times New Roman" w:hAnsi="Arial" w:cs="Arial"/>
          <w:sz w:val="28"/>
          <w:szCs w:val="28"/>
          <w:lang w:eastAsia="fr-FR"/>
        </w:rPr>
        <w:t xml:space="preserve">  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>, chargé de coordonner les actions d’accessibilité et de répondre aux besoins des apprenants concernés.</w:t>
      </w:r>
    </w:p>
    <w:p w:rsidR="00AF5D8E" w:rsidRPr="00CD0799" w:rsidRDefault="00CD0799" w:rsidP="00AF5D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Suivi individualisé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Mettre en place un suivi individualisé pour chaque apprenant en situation de handicap afin de s’assurer de la bonne adaptation des formations et de leur progression.</w:t>
      </w:r>
    </w:p>
    <w:p w:rsidR="00CD0799" w:rsidRPr="00CD0799" w:rsidRDefault="00CD0799" w:rsidP="00CD07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6. </w:t>
      </w:r>
      <w:r w:rsidRPr="002C113A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>Communication et Information :</w:t>
      </w:r>
    </w:p>
    <w:p w:rsidR="00CD0799" w:rsidRPr="00CD0799" w:rsidRDefault="00CD0799" w:rsidP="00AF5D8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Transparence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Communiquer de manière claire et transparente sur nos dispositifs d’accessibilité via notre site internet, nos brochures et lors des entretiens d’inscription.</w:t>
      </w:r>
    </w:p>
    <w:p w:rsidR="00CD0799" w:rsidRPr="00CD0799" w:rsidRDefault="00CD0799" w:rsidP="00AF5D8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Information continue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Tenir les apprenants informés des évolutions et des dispositifs mis en place pour garantir leur accès aux formations.</w:t>
      </w:r>
    </w:p>
    <w:p w:rsidR="00CD0799" w:rsidRPr="00CD0799" w:rsidRDefault="00CD0799" w:rsidP="00CD07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7. </w:t>
      </w:r>
      <w:r w:rsidRPr="002C113A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>Amélioration Continue :</w:t>
      </w:r>
    </w:p>
    <w:p w:rsidR="00CD0799" w:rsidRPr="00CD0799" w:rsidRDefault="00CD0799" w:rsidP="00AF5D8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Évaluation des dispositifs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Évaluer régulièrement l’efficacité de nos dispositifs d’accessibilité à travers des retours d’expérience et des enquêtes de satisfaction.</w:t>
      </w:r>
    </w:p>
    <w:p w:rsidR="00CD0799" w:rsidRPr="00CD0799" w:rsidRDefault="00CD0799" w:rsidP="00AF5D8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Plan d’action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Élaborer et mettre en œuvre un plan d’action pour améliorer continuellement l’accessibilité de nos formations, basé sur les retours des apprenants et des parties prenantes.</w:t>
      </w:r>
    </w:p>
    <w:p w:rsidR="00CD0799" w:rsidRPr="00CD0799" w:rsidRDefault="00CD0799" w:rsidP="00AF5D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2C113A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>Conclusion</w:t>
      </w: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: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La politique d'accessibilité d</w:t>
      </w:r>
      <w:r w:rsidR="00AF5D8E" w:rsidRPr="007C72BA">
        <w:rPr>
          <w:rFonts w:ascii="Arial" w:eastAsia="Times New Roman" w:hAnsi="Arial" w:cs="Arial"/>
          <w:sz w:val="28"/>
          <w:szCs w:val="28"/>
          <w:lang w:eastAsia="fr-FR"/>
        </w:rPr>
        <w:t>’ARIANE Méditerranée</w:t>
      </w:r>
      <w:r w:rsidRPr="00CD0799">
        <w:rPr>
          <w:rFonts w:ascii="Arial" w:eastAsia="Times New Roman" w:hAnsi="Arial" w:cs="Arial"/>
          <w:sz w:val="28"/>
          <w:szCs w:val="28"/>
          <w:lang w:eastAsia="fr-FR"/>
        </w:rPr>
        <w:t xml:space="preserve"> reflète notre engagement fort en faveur de l'inclusion et de l'égalité des chances. Nous nous engageons à mettre en œuvre cette politique avec rigueur et à l’adapter continuellement pour répondre aux besoins des apprenants en situation de handicap, garantissant ainsi une formation de qualité accessible à tous.</w:t>
      </w:r>
    </w:p>
    <w:p w:rsidR="00AF5D8E" w:rsidRPr="007C72BA" w:rsidRDefault="00CD0799" w:rsidP="00CD07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Fait à </w:t>
      </w:r>
      <w:r w:rsidR="00AF5D8E"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La Valette</w:t>
      </w: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, le </w:t>
      </w:r>
      <w:r w:rsidR="00AF5D8E"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2 janvier 2024 </w:t>
      </w:r>
    </w:p>
    <w:p w:rsidR="00CD0799" w:rsidRPr="00CD0799" w:rsidRDefault="00AF5D8E" w:rsidP="00B558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7C72B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Laurence SANIAL Directrice d’ARIANE Méditerrané</w:t>
      </w:r>
      <w:r w:rsidR="00B55891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e</w:t>
      </w:r>
      <w:r w:rsidR="007C72BA">
        <w:rPr>
          <w:rFonts w:eastAsia="Times New Roman" w:cstheme="minorHAnsi"/>
          <w:noProof/>
          <w:vanish/>
          <w:sz w:val="28"/>
          <w:szCs w:val="28"/>
          <w:lang w:eastAsia="fr-FR"/>
        </w:rPr>
        <w:drawing>
          <wp:inline distT="0" distB="0" distL="0" distR="0">
            <wp:extent cx="5250952" cy="5225806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e-ArianeMediterrané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952" cy="522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799" w:rsidRPr="00CD0799">
        <w:rPr>
          <w:rFonts w:eastAsia="Times New Roman" w:cstheme="minorHAnsi"/>
          <w:vanish/>
          <w:sz w:val="28"/>
          <w:szCs w:val="28"/>
          <w:lang w:eastAsia="fr-FR"/>
        </w:rPr>
        <w:t>Haut du formulaire</w:t>
      </w:r>
    </w:p>
    <w:p w:rsidR="00CD0799" w:rsidRPr="00CD0799" w:rsidRDefault="00CD0799" w:rsidP="00CD0799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8"/>
          <w:szCs w:val="28"/>
          <w:lang w:eastAsia="fr-FR"/>
        </w:rPr>
      </w:pPr>
      <w:r w:rsidRPr="00CD0799">
        <w:rPr>
          <w:rFonts w:eastAsia="Times New Roman" w:cstheme="minorHAnsi"/>
          <w:vanish/>
          <w:sz w:val="28"/>
          <w:szCs w:val="28"/>
          <w:lang w:eastAsia="fr-FR"/>
        </w:rPr>
        <w:lastRenderedPageBreak/>
        <w:t>Bas du formulaire</w:t>
      </w:r>
    </w:p>
    <w:p w:rsidR="007F500D" w:rsidRPr="007C72BA" w:rsidRDefault="007F500D">
      <w:pPr>
        <w:rPr>
          <w:rFonts w:cstheme="minorHAnsi"/>
          <w:sz w:val="28"/>
          <w:szCs w:val="28"/>
        </w:rPr>
      </w:pPr>
    </w:p>
    <w:sectPr w:rsidR="007F500D" w:rsidRPr="007C72BA" w:rsidSect="007C72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2BA" w:rsidRDefault="007C72BA" w:rsidP="007C72BA">
      <w:pPr>
        <w:spacing w:after="0" w:line="240" w:lineRule="auto"/>
      </w:pPr>
      <w:r>
        <w:separator/>
      </w:r>
    </w:p>
  </w:endnote>
  <w:endnote w:type="continuationSeparator" w:id="0">
    <w:p w:rsidR="007C72BA" w:rsidRDefault="007C72BA" w:rsidP="007C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2BA" w:rsidRDefault="007C72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2BA" w:rsidRDefault="007C72B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2BA" w:rsidRDefault="007C72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2BA" w:rsidRDefault="007C72BA" w:rsidP="007C72BA">
      <w:pPr>
        <w:spacing w:after="0" w:line="240" w:lineRule="auto"/>
      </w:pPr>
      <w:r>
        <w:separator/>
      </w:r>
    </w:p>
  </w:footnote>
  <w:footnote w:type="continuationSeparator" w:id="0">
    <w:p w:rsidR="007C72BA" w:rsidRDefault="007C72BA" w:rsidP="007C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2BA" w:rsidRDefault="007C72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2BA" w:rsidRDefault="007C72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2BA" w:rsidRDefault="007C72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22FA"/>
    <w:multiLevelType w:val="multilevel"/>
    <w:tmpl w:val="385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71F6"/>
    <w:multiLevelType w:val="multilevel"/>
    <w:tmpl w:val="538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01277"/>
    <w:multiLevelType w:val="multilevel"/>
    <w:tmpl w:val="2916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602C9"/>
    <w:multiLevelType w:val="multilevel"/>
    <w:tmpl w:val="2506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87ECB"/>
    <w:multiLevelType w:val="multilevel"/>
    <w:tmpl w:val="307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314A1"/>
    <w:multiLevelType w:val="multilevel"/>
    <w:tmpl w:val="52D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864EA"/>
    <w:multiLevelType w:val="multilevel"/>
    <w:tmpl w:val="712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99"/>
    <w:rsid w:val="001C0FA5"/>
    <w:rsid w:val="002C113A"/>
    <w:rsid w:val="007C72BA"/>
    <w:rsid w:val="007C79C1"/>
    <w:rsid w:val="007F2C09"/>
    <w:rsid w:val="007F500D"/>
    <w:rsid w:val="008B4B27"/>
    <w:rsid w:val="00AF5D8E"/>
    <w:rsid w:val="00B55891"/>
    <w:rsid w:val="00CD0799"/>
    <w:rsid w:val="00E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924315"/>
  <w15:chartTrackingRefBased/>
  <w15:docId w15:val="{27C363BA-EBC2-46B5-A890-2829975B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0799"/>
    <w:rPr>
      <w:b/>
      <w:bCs/>
    </w:rPr>
  </w:style>
  <w:style w:type="character" w:customStyle="1" w:styleId="overflow-hidden">
    <w:name w:val="overflow-hidden"/>
    <w:basedOn w:val="Policepardfaut"/>
    <w:rsid w:val="00CD079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D07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D079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D07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D0799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AF5D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5D8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C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2BA"/>
  </w:style>
  <w:style w:type="paragraph" w:styleId="Pieddepage">
    <w:name w:val="footer"/>
    <w:basedOn w:val="Normal"/>
    <w:link w:val="PieddepageCar"/>
    <w:uiPriority w:val="99"/>
    <w:unhideWhenUsed/>
    <w:rsid w:val="007C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5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3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8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8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9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7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0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75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6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iaconelli@ariane-mediterrane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SANIAL</dc:creator>
  <cp:keywords/>
  <dc:description/>
  <cp:lastModifiedBy>Laurence SANIAL</cp:lastModifiedBy>
  <cp:revision>9</cp:revision>
  <cp:lastPrinted>2024-07-29T07:58:00Z</cp:lastPrinted>
  <dcterms:created xsi:type="dcterms:W3CDTF">2024-07-29T07:47:00Z</dcterms:created>
  <dcterms:modified xsi:type="dcterms:W3CDTF">2024-07-29T08:00:00Z</dcterms:modified>
</cp:coreProperties>
</file>